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EB1767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 w:rsidRPr="00EB1767">
              <w:rPr>
                <w:rFonts w:ascii="Arial" w:hAnsi="Arial" w:cs="Arial"/>
                <w:b/>
              </w:rPr>
              <w:t>D</w:t>
            </w:r>
            <w:r w:rsidR="006F6326" w:rsidRPr="00EB1767">
              <w:rPr>
                <w:rFonts w:ascii="Arial" w:hAnsi="Arial" w:cs="Arial"/>
                <w:b/>
              </w:rPr>
              <w:t>ecision</w:t>
            </w:r>
            <w:r w:rsidRPr="00EB1767">
              <w:rPr>
                <w:rFonts w:ascii="Arial" w:hAnsi="Arial" w:cs="Arial"/>
                <w:b/>
              </w:rPr>
              <w:t xml:space="preserve"> title</w:t>
            </w:r>
            <w:r w:rsidR="00B87695" w:rsidRPr="00EB1767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  <w:shd w:val="clear" w:color="auto" w:fill="FFFFFF" w:themeFill="background1"/>
          </w:tcPr>
          <w:p w:rsidR="00EB1767" w:rsidRPr="00EF2427" w:rsidRDefault="005A15F6" w:rsidP="00EB1767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2427">
              <w:rPr>
                <w:rFonts w:ascii="Arial" w:hAnsi="Arial" w:cs="Arial"/>
              </w:rPr>
              <w:t xml:space="preserve">Award </w:t>
            </w:r>
            <w:r w:rsidR="00EF2427" w:rsidRPr="00EF2427">
              <w:rPr>
                <w:rFonts w:ascii="Arial" w:hAnsi="Arial" w:cs="Arial"/>
              </w:rPr>
              <w:t>of a c</w:t>
            </w:r>
            <w:r w:rsidR="00624898" w:rsidRPr="00EF2427">
              <w:rPr>
                <w:rFonts w:ascii="Arial" w:hAnsi="Arial" w:cs="Arial"/>
              </w:rPr>
              <w:t xml:space="preserve">ontract </w:t>
            </w:r>
            <w:r w:rsidR="00EF2427" w:rsidRPr="00EF2427">
              <w:rPr>
                <w:rFonts w:ascii="Arial" w:hAnsi="Arial" w:cs="Arial"/>
              </w:rPr>
              <w:t>to JB Specialist</w:t>
            </w:r>
            <w:r w:rsidR="00242FB2">
              <w:rPr>
                <w:rFonts w:ascii="Arial" w:hAnsi="Arial" w:cs="Arial"/>
              </w:rPr>
              <w:t xml:space="preserve"> Refurbishments</w:t>
            </w:r>
            <w:r w:rsidR="00EF2427" w:rsidRPr="00EF2427">
              <w:rPr>
                <w:rFonts w:ascii="Arial" w:hAnsi="Arial" w:cs="Arial"/>
              </w:rPr>
              <w:t xml:space="preserve"> Ltd</w:t>
            </w:r>
            <w:r w:rsidR="00FF5EE6" w:rsidRPr="00EF2427">
              <w:rPr>
                <w:rFonts w:ascii="Arial" w:hAnsi="Arial" w:cs="Arial"/>
              </w:rPr>
              <w:t xml:space="preserve"> </w:t>
            </w:r>
            <w:r w:rsidR="00EF2427" w:rsidRPr="00EF2427">
              <w:rPr>
                <w:rFonts w:ascii="Arial" w:hAnsi="Arial" w:cs="Arial"/>
              </w:rPr>
              <w:t xml:space="preserve">for </w:t>
            </w:r>
            <w:r w:rsidR="0003497B" w:rsidRPr="00EF2427">
              <w:rPr>
                <w:rFonts w:ascii="Arial" w:hAnsi="Arial" w:cs="Arial"/>
              </w:rPr>
              <w:t xml:space="preserve">concrete and handrail </w:t>
            </w:r>
            <w:r w:rsidR="00242FB2">
              <w:rPr>
                <w:rFonts w:ascii="Arial" w:hAnsi="Arial" w:cs="Arial"/>
              </w:rPr>
              <w:t>repairs to five</w:t>
            </w:r>
            <w:r w:rsidR="00EF2427" w:rsidRPr="00EF2427">
              <w:rPr>
                <w:rFonts w:ascii="Arial" w:hAnsi="Arial" w:cs="Arial"/>
              </w:rPr>
              <w:t xml:space="preserve"> apartment blocks at</w:t>
            </w:r>
            <w:r w:rsidR="00242FB2">
              <w:rPr>
                <w:rFonts w:ascii="Arial" w:hAnsi="Arial" w:cs="Arial"/>
              </w:rPr>
              <w:t xml:space="preserve"> Blackb</w:t>
            </w:r>
            <w:r w:rsidR="0003497B" w:rsidRPr="00EF2427">
              <w:rPr>
                <w:rFonts w:ascii="Arial" w:hAnsi="Arial" w:cs="Arial"/>
              </w:rPr>
              <w:t>ird Leys</w:t>
            </w:r>
            <w:r w:rsidR="00EF2427" w:rsidRPr="00EF2427">
              <w:rPr>
                <w:rFonts w:ascii="Arial" w:hAnsi="Arial" w:cs="Arial"/>
              </w:rPr>
              <w:t>.</w:t>
            </w:r>
          </w:p>
          <w:p w:rsidR="00EF2427" w:rsidRPr="00EF2427" w:rsidRDefault="00EF2427" w:rsidP="0003497B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EF2427" w:rsidRDefault="00957D9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September </w:t>
            </w:r>
            <w:r w:rsidR="00624898" w:rsidRPr="00EF2427">
              <w:rPr>
                <w:rFonts w:ascii="Arial" w:hAnsi="Arial" w:cs="Arial"/>
              </w:rPr>
              <w:t>2022</w:t>
            </w:r>
          </w:p>
          <w:p w:rsidR="00D07A99" w:rsidRPr="00D07A99" w:rsidRDefault="00D07A99" w:rsidP="008A22C6">
            <w:pPr>
              <w:rPr>
                <w:rFonts w:ascii="Arial" w:hAnsi="Arial" w:cs="Arial"/>
                <w:i/>
              </w:rPr>
            </w:pP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EF24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D07A99" w:rsidRDefault="00EF2427" w:rsidP="00EF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on 13 April 2022, resolved to:</w:t>
            </w:r>
          </w:p>
          <w:p w:rsidR="00EF2427" w:rsidRDefault="00EF2427" w:rsidP="00EF2427">
            <w:pPr>
              <w:rPr>
                <w:rFonts w:ascii="Arial" w:hAnsi="Arial" w:cs="Arial"/>
              </w:rPr>
            </w:pPr>
          </w:p>
          <w:p w:rsidR="00EF2427" w:rsidRDefault="00EF2427" w:rsidP="00EF2427">
            <w:pPr>
              <w:pStyle w:val="ListParagraph"/>
              <w:numPr>
                <w:ilvl w:val="0"/>
                <w:numId w:val="8"/>
              </w:numPr>
              <w:ind w:left="409" w:hanging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the award of a contract for concrete and guard rail repairs to balcony walkways to five apartment blocks at Blackbird Leys; and</w:t>
            </w:r>
          </w:p>
          <w:p w:rsidR="00EF2427" w:rsidRDefault="00EF2427" w:rsidP="00EF2427">
            <w:pPr>
              <w:pStyle w:val="ListParagraph"/>
              <w:ind w:left="409" w:hanging="392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F2427" w:rsidRDefault="00EF2427" w:rsidP="00EF2427">
            <w:pPr>
              <w:pStyle w:val="ListParagraph"/>
              <w:numPr>
                <w:ilvl w:val="0"/>
                <w:numId w:val="8"/>
              </w:numPr>
              <w:ind w:left="409" w:hanging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(Communities an</w:t>
            </w:r>
            <w:r w:rsidR="00284810">
              <w:rPr>
                <w:rFonts w:ascii="Arial" w:hAnsi="Arial" w:cs="Arial"/>
              </w:rPr>
              <w:t>d People) to award the concrete</w:t>
            </w:r>
            <w:r>
              <w:rPr>
                <w:rFonts w:ascii="Arial" w:hAnsi="Arial" w:cs="Arial"/>
              </w:rPr>
              <w:t xml:space="preserve"> repairs contract to suppliers following completion of the procurement competitive closed tender process described in the report.</w:t>
            </w:r>
          </w:p>
          <w:p w:rsidR="00242FB2" w:rsidRPr="00242FB2" w:rsidRDefault="00242FB2" w:rsidP="00242FB2">
            <w:pPr>
              <w:pStyle w:val="ListParagraph"/>
              <w:rPr>
                <w:rFonts w:ascii="Arial" w:hAnsi="Arial" w:cs="Arial"/>
              </w:rPr>
            </w:pPr>
          </w:p>
          <w:p w:rsidR="00242FB2" w:rsidRPr="00242FB2" w:rsidRDefault="00242FB2" w:rsidP="0024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Cabinet report and minutes can be seen here: </w:t>
            </w:r>
            <w:hyperlink r:id="rId8" w:history="1">
              <w:r w:rsidRPr="00242FB2">
                <w:rPr>
                  <w:rStyle w:val="Hyperlink"/>
                  <w:rFonts w:ascii="Arial" w:hAnsi="Arial" w:cs="Arial"/>
                </w:rPr>
                <w:t>Agenda for Cabinet on Wednesday 13 April 2022, 6.00 pm | Oxford City Council</w:t>
              </w:r>
            </w:hyperlink>
          </w:p>
          <w:p w:rsidR="00EF2427" w:rsidRPr="00EF2427" w:rsidRDefault="00EF2427" w:rsidP="00EF2427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EF242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9F318E" w:rsidRDefault="00D15497" w:rsidP="00D07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award</w:t>
            </w:r>
            <w:r w:rsidR="00EF2427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contract to JB Specialist </w:t>
            </w:r>
            <w:r w:rsidR="00242FB2">
              <w:rPr>
                <w:rFonts w:ascii="Arial" w:hAnsi="Arial" w:cs="Arial"/>
              </w:rPr>
              <w:t xml:space="preserve">Refurbishments </w:t>
            </w:r>
            <w:r>
              <w:rPr>
                <w:rFonts w:ascii="Arial" w:hAnsi="Arial" w:cs="Arial"/>
              </w:rPr>
              <w:t>Ltd</w:t>
            </w:r>
            <w:r w:rsidR="00EF24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using </w:t>
            </w:r>
            <w:r w:rsidR="00EF242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="0003497B">
              <w:rPr>
                <w:rFonts w:ascii="Arial" w:hAnsi="Arial" w:cs="Arial"/>
              </w:rPr>
              <w:t>tructural repairs budge</w:t>
            </w:r>
            <w:r w:rsidR="00242FB2">
              <w:rPr>
                <w:rFonts w:ascii="Arial" w:hAnsi="Arial" w:cs="Arial"/>
              </w:rPr>
              <w:t xml:space="preserve">t, to carry out concrete </w:t>
            </w:r>
            <w:r w:rsidR="00B40D38">
              <w:rPr>
                <w:rFonts w:ascii="Arial" w:hAnsi="Arial" w:cs="Arial"/>
              </w:rPr>
              <w:t xml:space="preserve">and handrail </w:t>
            </w:r>
            <w:r w:rsidR="00242FB2">
              <w:rPr>
                <w:rFonts w:ascii="Arial" w:hAnsi="Arial" w:cs="Arial"/>
              </w:rPr>
              <w:t>repair</w:t>
            </w:r>
            <w:r w:rsidR="0003497B">
              <w:rPr>
                <w:rFonts w:ascii="Arial" w:hAnsi="Arial" w:cs="Arial"/>
              </w:rPr>
              <w:t xml:space="preserve"> works to </w:t>
            </w:r>
            <w:r w:rsidR="00EF2427">
              <w:rPr>
                <w:rFonts w:ascii="Arial" w:hAnsi="Arial" w:cs="Arial"/>
              </w:rPr>
              <w:t xml:space="preserve">the following </w:t>
            </w:r>
            <w:r w:rsidR="00242FB2">
              <w:rPr>
                <w:rFonts w:ascii="Arial" w:hAnsi="Arial" w:cs="Arial"/>
              </w:rPr>
              <w:t>five</w:t>
            </w:r>
            <w:r w:rsidR="0003497B">
              <w:rPr>
                <w:rFonts w:ascii="Arial" w:hAnsi="Arial" w:cs="Arial"/>
              </w:rPr>
              <w:t xml:space="preserve"> apar</w:t>
            </w:r>
            <w:r w:rsidR="00EF2427">
              <w:rPr>
                <w:rFonts w:ascii="Arial" w:hAnsi="Arial" w:cs="Arial"/>
              </w:rPr>
              <w:t>tment blocks to Blackbird Leys:</w:t>
            </w:r>
          </w:p>
          <w:p w:rsidR="00EF2427" w:rsidRDefault="00EF2427" w:rsidP="00D07A99">
            <w:pPr>
              <w:rPr>
                <w:rFonts w:ascii="Arial" w:hAnsi="Arial" w:cs="Arial"/>
              </w:rPr>
            </w:pPr>
          </w:p>
          <w:p w:rsidR="00EF2427" w:rsidRDefault="00EF2427" w:rsidP="00D07A99">
            <w:pPr>
              <w:rPr>
                <w:rFonts w:ascii="Arial" w:hAnsi="Arial" w:cs="Arial"/>
              </w:rPr>
            </w:pPr>
            <w:r w:rsidRPr="00EF2427">
              <w:rPr>
                <w:rFonts w:ascii="Arial" w:hAnsi="Arial" w:cs="Arial"/>
              </w:rPr>
              <w:t>22-48 Strawberry Path, Oxford, OX4 6RA, 1-43 Starwort Path, OX4 6RN, 28-55 Druce Way, OX4 6T</w:t>
            </w:r>
            <w:r w:rsidR="00242FB2">
              <w:rPr>
                <w:rFonts w:ascii="Arial" w:hAnsi="Arial" w:cs="Arial"/>
              </w:rPr>
              <w:t>J,</w:t>
            </w:r>
            <w:r w:rsidRPr="00EF2427">
              <w:rPr>
                <w:rFonts w:ascii="Arial" w:hAnsi="Arial" w:cs="Arial"/>
              </w:rPr>
              <w:t xml:space="preserve"> 85 -139 Field Avenue OX4 6PB, </w:t>
            </w:r>
            <w:r w:rsidR="00242FB2">
              <w:rPr>
                <w:rFonts w:ascii="Arial" w:hAnsi="Arial" w:cs="Arial"/>
              </w:rPr>
              <w:t xml:space="preserve">and </w:t>
            </w:r>
            <w:r w:rsidRPr="00EF2427">
              <w:rPr>
                <w:rFonts w:ascii="Arial" w:hAnsi="Arial" w:cs="Arial"/>
              </w:rPr>
              <w:t>31-58 Warburg Crescent OX4 6BS.</w:t>
            </w:r>
          </w:p>
          <w:p w:rsidR="00EF2427" w:rsidRDefault="00EF2427" w:rsidP="00D07A99">
            <w:pPr>
              <w:rPr>
                <w:rFonts w:ascii="Arial" w:hAnsi="Arial" w:cs="Arial"/>
              </w:rPr>
            </w:pPr>
          </w:p>
          <w:p w:rsidR="00862122" w:rsidRDefault="00EF2427" w:rsidP="00242FB2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17626E">
              <w:rPr>
                <w:rFonts w:ascii="Arial" w:hAnsi="Arial" w:cs="Arial"/>
              </w:rPr>
              <w:t>A Find a Tender compliant tender process was run on the South East Bus</w:t>
            </w:r>
            <w:r>
              <w:rPr>
                <w:rFonts w:ascii="Arial" w:hAnsi="Arial" w:cs="Arial"/>
              </w:rPr>
              <w:t>iness Portal, reference DN618971</w:t>
            </w:r>
            <w:r w:rsidRPr="0017626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 t</w:t>
            </w:r>
            <w:r w:rsidR="00242FB2">
              <w:rPr>
                <w:rFonts w:ascii="Arial" w:hAnsi="Arial" w:cs="Arial"/>
              </w:rPr>
              <w:t>otal of six</w:t>
            </w:r>
            <w:r>
              <w:rPr>
                <w:rFonts w:ascii="Arial" w:hAnsi="Arial" w:cs="Arial"/>
              </w:rPr>
              <w:t xml:space="preserve"> tenders </w:t>
            </w:r>
            <w:r>
              <w:rPr>
                <w:rFonts w:ascii="Arial" w:hAnsi="Arial" w:cs="Arial"/>
              </w:rPr>
              <w:t xml:space="preserve">were </w:t>
            </w:r>
            <w:r>
              <w:rPr>
                <w:rFonts w:ascii="Arial" w:hAnsi="Arial" w:cs="Arial"/>
              </w:rPr>
              <w:t>received</w:t>
            </w:r>
            <w:r w:rsidR="00242FB2">
              <w:rPr>
                <w:rFonts w:ascii="Arial" w:hAnsi="Arial" w:cs="Arial"/>
              </w:rPr>
              <w:t>.  Following assessment of evaluation scores,</w:t>
            </w:r>
            <w:r w:rsidR="00242FB2">
              <w:rPr>
                <w:rFonts w:ascii="Arial" w:hAnsi="Arial" w:cs="Arial"/>
              </w:rPr>
              <w:t xml:space="preserve"> clarification interview and financial checks</w:t>
            </w:r>
            <w:r w:rsidR="00242FB2">
              <w:rPr>
                <w:rFonts w:ascii="Arial" w:hAnsi="Arial" w:cs="Arial"/>
              </w:rPr>
              <w:t>,</w:t>
            </w:r>
            <w:r w:rsidR="00242FB2">
              <w:rPr>
                <w:rFonts w:ascii="Arial" w:hAnsi="Arial" w:cs="Arial"/>
              </w:rPr>
              <w:t xml:space="preserve"> </w:t>
            </w:r>
            <w:r w:rsidR="00242FB2">
              <w:rPr>
                <w:rFonts w:ascii="Arial" w:hAnsi="Arial" w:cs="Arial"/>
              </w:rPr>
              <w:t xml:space="preserve">the preferred submission was determined to be from </w:t>
            </w:r>
            <w:r w:rsidR="0003497B">
              <w:rPr>
                <w:rFonts w:ascii="Arial" w:hAnsi="Arial" w:cs="Arial"/>
              </w:rPr>
              <w:t>J</w:t>
            </w:r>
            <w:r w:rsidR="00242FB2">
              <w:rPr>
                <w:rFonts w:ascii="Arial" w:hAnsi="Arial" w:cs="Arial"/>
              </w:rPr>
              <w:t xml:space="preserve">B Specialists Refurbishment Ltd for the sum of </w:t>
            </w:r>
            <w:r w:rsidR="00242FB2">
              <w:rPr>
                <w:rFonts w:ascii="Arial" w:hAnsi="Arial" w:cs="Arial"/>
              </w:rPr>
              <w:t>£1,194,346.81</w:t>
            </w:r>
            <w:r w:rsidR="00242FB2">
              <w:rPr>
                <w:rFonts w:ascii="Arial" w:hAnsi="Arial" w:cs="Arial"/>
              </w:rPr>
              <w:t>.</w:t>
            </w:r>
          </w:p>
          <w:p w:rsidR="00D07A99" w:rsidRPr="00A96C08" w:rsidRDefault="00D07A99" w:rsidP="00EF2427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EF24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4962" w:type="dxa"/>
          </w:tcPr>
          <w:p w:rsidR="00F4311E" w:rsidRDefault="0003497B" w:rsidP="0062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242FB2">
              <w:rPr>
                <w:rFonts w:ascii="Arial" w:hAnsi="Arial" w:cs="Arial"/>
              </w:rPr>
              <w:t xml:space="preserve">enable urgent concrete and handrail repair works to be carried out.  </w:t>
            </w:r>
          </w:p>
          <w:p w:rsidR="00EF2427" w:rsidRPr="00EB1767" w:rsidRDefault="00EF2427" w:rsidP="00624898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EF24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6D77FA" w:rsidRDefault="00B40D38" w:rsidP="0043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37795">
              <w:rPr>
                <w:rFonts w:ascii="Arial" w:hAnsi="Arial" w:cs="Arial"/>
              </w:rPr>
              <w:t xml:space="preserve"> decision will enable the </w:t>
            </w:r>
            <w:r>
              <w:rPr>
                <w:rFonts w:ascii="Arial" w:hAnsi="Arial" w:cs="Arial"/>
              </w:rPr>
              <w:t xml:space="preserve">urgent </w:t>
            </w:r>
            <w:r w:rsidR="00237795">
              <w:rPr>
                <w:rFonts w:ascii="Arial" w:hAnsi="Arial" w:cs="Arial"/>
              </w:rPr>
              <w:t>repair works to be carried out, which will ensure</w:t>
            </w:r>
            <w:r w:rsidR="00237795">
              <w:rPr>
                <w:rFonts w:ascii="Arial" w:hAnsi="Arial" w:cs="Arial"/>
              </w:rPr>
              <w:t xml:space="preserve"> there is continued safe access to the blocks and that they remain habitable.</w:t>
            </w:r>
          </w:p>
          <w:p w:rsidR="006D77FA" w:rsidRPr="00A96C08" w:rsidRDefault="006D77FA" w:rsidP="0043175A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242FB2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242FB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:rsidR="00242FB2" w:rsidRPr="00A96C08" w:rsidRDefault="00242FB2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242FB2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Default="000622D1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not to carry out the repairs was rejected as</w:t>
            </w:r>
            <w:r w:rsidR="005A15F6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defects which have been </w:t>
            </w:r>
            <w:r w:rsidR="00645BA1">
              <w:rPr>
                <w:rFonts w:ascii="Arial" w:hAnsi="Arial" w:cs="Arial"/>
              </w:rPr>
              <w:t xml:space="preserve">identified to the delaminated concrete and </w:t>
            </w:r>
            <w:r>
              <w:rPr>
                <w:rFonts w:ascii="Arial" w:hAnsi="Arial" w:cs="Arial"/>
              </w:rPr>
              <w:t xml:space="preserve">the </w:t>
            </w:r>
            <w:r w:rsidR="00645BA1">
              <w:rPr>
                <w:rFonts w:ascii="Arial" w:hAnsi="Arial" w:cs="Arial"/>
              </w:rPr>
              <w:t xml:space="preserve">corrosion to </w:t>
            </w:r>
            <w:r>
              <w:rPr>
                <w:rFonts w:ascii="Arial" w:hAnsi="Arial" w:cs="Arial"/>
              </w:rPr>
              <w:t xml:space="preserve">the </w:t>
            </w:r>
            <w:r w:rsidR="00645BA1">
              <w:rPr>
                <w:rFonts w:ascii="Arial" w:hAnsi="Arial" w:cs="Arial"/>
              </w:rPr>
              <w:t>handrails require</w:t>
            </w:r>
            <w:r w:rsidR="005A15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urgent repairs.  Cabinet appr</w:t>
            </w:r>
            <w:r w:rsidR="00237795">
              <w:rPr>
                <w:rFonts w:ascii="Arial" w:hAnsi="Arial" w:cs="Arial"/>
              </w:rPr>
              <w:t>oval</w:t>
            </w:r>
            <w:r>
              <w:rPr>
                <w:rFonts w:ascii="Arial" w:hAnsi="Arial" w:cs="Arial"/>
              </w:rPr>
              <w:t xml:space="preserve"> was given at the meeting held on 13 April 2022.</w:t>
            </w:r>
          </w:p>
          <w:p w:rsidR="006D77FA" w:rsidRPr="00A96C08" w:rsidRDefault="006D77FA" w:rsidP="00DD1A34">
            <w:pPr>
              <w:rPr>
                <w:rFonts w:ascii="Arial" w:hAnsi="Arial" w:cs="Arial"/>
              </w:rPr>
            </w:pPr>
          </w:p>
        </w:tc>
      </w:tr>
      <w:tr w:rsidR="006F6326" w:rsidTr="00B40D38">
        <w:tc>
          <w:tcPr>
            <w:tcW w:w="4962" w:type="dxa"/>
          </w:tcPr>
          <w:p w:rsidR="00C678ED" w:rsidRPr="00C678ED" w:rsidRDefault="006F6326" w:rsidP="00242FB2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512BF6" w:rsidRDefault="005A15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tender documents</w:t>
            </w:r>
            <w:r w:rsidR="00957D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reference </w:t>
            </w:r>
            <w:r w:rsidR="00D15497" w:rsidRPr="00957D9B">
              <w:rPr>
                <w:rFonts w:ascii="Arial" w:hAnsi="Arial" w:cs="Arial"/>
              </w:rPr>
              <w:t>DN618971</w:t>
            </w:r>
          </w:p>
          <w:p w:rsidR="00512BF6" w:rsidRPr="00A96C08" w:rsidRDefault="00512BF6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957D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Default="00957D9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12BF6" w:rsidRPr="00C4505C">
              <w:rPr>
                <w:rFonts w:ascii="Arial" w:hAnsi="Arial" w:cs="Arial"/>
              </w:rPr>
              <w:t>ey</w:t>
            </w:r>
          </w:p>
          <w:p w:rsidR="00092A13" w:rsidRPr="00A96C08" w:rsidRDefault="00092A13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957D9B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D77FA" w:rsidRPr="00A96C08" w:rsidRDefault="003617B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957D9B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D77FA" w:rsidRDefault="006D77FA" w:rsidP="008A22C6">
            <w:pPr>
              <w:rPr>
                <w:rFonts w:ascii="Arial" w:hAnsi="Arial" w:cs="Arial"/>
              </w:rPr>
            </w:pPr>
          </w:p>
          <w:p w:rsidR="006F6326" w:rsidRPr="00A96C08" w:rsidRDefault="00512BF6" w:rsidP="008A22C6">
            <w:pPr>
              <w:rPr>
                <w:rFonts w:ascii="Arial" w:hAnsi="Arial" w:cs="Arial"/>
              </w:rPr>
            </w:pPr>
            <w:r w:rsidRPr="00C4505C">
              <w:rPr>
                <w:rFonts w:ascii="Arial" w:hAnsi="Arial" w:cs="Arial"/>
              </w:rPr>
              <w:t>None known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4A049B" w:rsidP="008A22C6">
            <w:pPr>
              <w:rPr>
                <w:rFonts w:ascii="Arial" w:hAnsi="Arial" w:cs="Arial"/>
              </w:rPr>
            </w:pPr>
          </w:p>
          <w:p w:rsidR="00512BF6" w:rsidRPr="00C4505C" w:rsidRDefault="00C4505C" w:rsidP="008A22C6">
            <w:pPr>
              <w:rPr>
                <w:rFonts w:ascii="Arial" w:hAnsi="Arial" w:cs="Arial"/>
              </w:rPr>
            </w:pPr>
            <w:r w:rsidRPr="00C4505C">
              <w:rPr>
                <w:rFonts w:ascii="Arial" w:hAnsi="Arial" w:cs="Arial"/>
              </w:rPr>
              <w:t xml:space="preserve">Bill Chamberlain </w:t>
            </w:r>
          </w:p>
          <w:p w:rsidR="00C4505C" w:rsidRDefault="00512BF6" w:rsidP="008A22C6">
            <w:pPr>
              <w:rPr>
                <w:rFonts w:ascii="Arial" w:hAnsi="Arial" w:cs="Arial"/>
              </w:rPr>
            </w:pPr>
            <w:r w:rsidRPr="00C4505C">
              <w:rPr>
                <w:rFonts w:ascii="Arial" w:hAnsi="Arial" w:cs="Arial"/>
              </w:rPr>
              <w:t>Senior Building Surveyor, Property Services</w:t>
            </w:r>
          </w:p>
          <w:p w:rsidR="00512BF6" w:rsidRPr="00C4505C" w:rsidRDefault="00645BA1" w:rsidP="008A22C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09/09/ </w:t>
            </w:r>
            <w:r w:rsidR="003617B2">
              <w:rPr>
                <w:rFonts w:ascii="Arial" w:hAnsi="Arial" w:cs="Arial"/>
              </w:rPr>
              <w:t>2022</w:t>
            </w:r>
          </w:p>
        </w:tc>
      </w:tr>
    </w:tbl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957D9B" w:rsidRPr="00A96C08" w:rsidTr="00BF240D">
        <w:trPr>
          <w:trHeight w:val="516"/>
        </w:trPr>
        <w:tc>
          <w:tcPr>
            <w:tcW w:w="3828" w:type="dxa"/>
            <w:vAlign w:val="center"/>
          </w:tcPr>
          <w:p w:rsidR="00957D9B" w:rsidRPr="00405321" w:rsidRDefault="00957D9B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957D9B" w:rsidRDefault="00957D9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:rsidR="00957D9B" w:rsidRDefault="00957D9B" w:rsidP="00DD4885">
            <w:pPr>
              <w:rPr>
                <w:rFonts w:ascii="Arial" w:hAnsi="Arial" w:cs="Arial"/>
              </w:rPr>
            </w:pPr>
          </w:p>
          <w:p w:rsidR="00957D9B" w:rsidRDefault="00957D9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9DC1165" wp14:editId="7A9410CD">
                  <wp:extent cx="1117600" cy="505978"/>
                  <wp:effectExtent l="0" t="0" r="635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04" cy="518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57D9B" w:rsidRDefault="00957D9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28.09.2022</w:t>
            </w:r>
          </w:p>
        </w:tc>
      </w:tr>
    </w:tbl>
    <w:p w:rsidR="00B40D38" w:rsidRDefault="00B40D38"/>
    <w:p w:rsidR="00B40D38" w:rsidRPr="00B40D38" w:rsidRDefault="00B40D38">
      <w:pPr>
        <w:rPr>
          <w:rFonts w:ascii="Arial" w:hAnsi="Arial" w:cs="Arial"/>
          <w:b/>
        </w:rPr>
      </w:pPr>
      <w:r w:rsidRPr="00B40D38">
        <w:rPr>
          <w:rFonts w:ascii="Arial" w:hAnsi="Arial" w:cs="Arial"/>
          <w:b/>
        </w:rPr>
        <w:t>Consultee checklist</w:t>
      </w:r>
    </w:p>
    <w:p w:rsidR="00B40D38" w:rsidRDefault="00B40D3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B40D38" w:rsidRPr="00A96C08" w:rsidTr="005930B0">
        <w:trPr>
          <w:trHeight w:val="516"/>
        </w:trPr>
        <w:tc>
          <w:tcPr>
            <w:tcW w:w="3828" w:type="dxa"/>
          </w:tcPr>
          <w:p w:rsidR="00B40D38" w:rsidRPr="00CD4BC9" w:rsidRDefault="00B40D38" w:rsidP="00B40D38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B40D38" w:rsidRPr="00CD4BC9" w:rsidRDefault="00B40D38" w:rsidP="00B40D38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B40D38" w:rsidRPr="00CD4BC9" w:rsidRDefault="00B40D38" w:rsidP="00B40D38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957D9B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:rsidR="00DD4885" w:rsidRDefault="00645BA1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Nerys Parry </w:t>
            </w:r>
            <w:r w:rsidR="007A4BFF">
              <w:rPr>
                <w:rFonts w:ascii="Arial" w:hAnsi="Arial" w:cs="Arial"/>
              </w:rPr>
              <w:t>– Head of Housing Services</w:t>
            </w:r>
          </w:p>
          <w:p w:rsidR="007A4BFF" w:rsidRPr="00A96C08" w:rsidRDefault="006D0E2E" w:rsidP="00DD4885">
            <w:pPr>
              <w:rPr>
                <w:rFonts w:ascii="Arial" w:hAnsi="Arial" w:cs="Arial"/>
              </w:rPr>
            </w:pPr>
            <w:r w:rsidRPr="003434D5">
              <w:rPr>
                <w:noProof/>
              </w:rPr>
              <w:drawing>
                <wp:inline distT="0" distB="0" distL="0" distR="0" wp14:anchorId="5F6B60CC" wp14:editId="356D5218">
                  <wp:extent cx="1461594" cy="47625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9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6D0E2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13.09.2022</w:t>
            </w:r>
          </w:p>
        </w:tc>
      </w:tr>
    </w:tbl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356"/>
    <w:multiLevelType w:val="hybridMultilevel"/>
    <w:tmpl w:val="0E10C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3497B"/>
    <w:rsid w:val="00037EAC"/>
    <w:rsid w:val="000445D4"/>
    <w:rsid w:val="0005774E"/>
    <w:rsid w:val="000622D1"/>
    <w:rsid w:val="0008133A"/>
    <w:rsid w:val="00092A13"/>
    <w:rsid w:val="000B4310"/>
    <w:rsid w:val="000F4239"/>
    <w:rsid w:val="00101692"/>
    <w:rsid w:val="0017626E"/>
    <w:rsid w:val="001B29A9"/>
    <w:rsid w:val="00231385"/>
    <w:rsid w:val="00237795"/>
    <w:rsid w:val="00242FB2"/>
    <w:rsid w:val="002611EB"/>
    <w:rsid w:val="00263039"/>
    <w:rsid w:val="00284810"/>
    <w:rsid w:val="002A07C9"/>
    <w:rsid w:val="002B53D4"/>
    <w:rsid w:val="002E61DD"/>
    <w:rsid w:val="0032528D"/>
    <w:rsid w:val="00335A9B"/>
    <w:rsid w:val="003505E0"/>
    <w:rsid w:val="003547CD"/>
    <w:rsid w:val="003617B2"/>
    <w:rsid w:val="00373F5D"/>
    <w:rsid w:val="003A71CE"/>
    <w:rsid w:val="003B1236"/>
    <w:rsid w:val="004000D7"/>
    <w:rsid w:val="00405321"/>
    <w:rsid w:val="00424A92"/>
    <w:rsid w:val="0043175A"/>
    <w:rsid w:val="004A049B"/>
    <w:rsid w:val="004B1944"/>
    <w:rsid w:val="004C3FF0"/>
    <w:rsid w:val="004E7656"/>
    <w:rsid w:val="005013C5"/>
    <w:rsid w:val="00504E43"/>
    <w:rsid w:val="00512BF6"/>
    <w:rsid w:val="00532DF2"/>
    <w:rsid w:val="005A15F6"/>
    <w:rsid w:val="005C6416"/>
    <w:rsid w:val="005E37E4"/>
    <w:rsid w:val="00616F3F"/>
    <w:rsid w:val="006247C4"/>
    <w:rsid w:val="00624898"/>
    <w:rsid w:val="00645BA1"/>
    <w:rsid w:val="006D0E2E"/>
    <w:rsid w:val="006D77FA"/>
    <w:rsid w:val="006F6326"/>
    <w:rsid w:val="006F6731"/>
    <w:rsid w:val="007908F4"/>
    <w:rsid w:val="007A4BFF"/>
    <w:rsid w:val="007D270E"/>
    <w:rsid w:val="00801BEB"/>
    <w:rsid w:val="00804BF2"/>
    <w:rsid w:val="00834D72"/>
    <w:rsid w:val="00844D21"/>
    <w:rsid w:val="00854133"/>
    <w:rsid w:val="008613FB"/>
    <w:rsid w:val="00862122"/>
    <w:rsid w:val="008676E5"/>
    <w:rsid w:val="008900A7"/>
    <w:rsid w:val="00891B19"/>
    <w:rsid w:val="00893AB8"/>
    <w:rsid w:val="008A22C6"/>
    <w:rsid w:val="008E4629"/>
    <w:rsid w:val="00914D64"/>
    <w:rsid w:val="00915E19"/>
    <w:rsid w:val="00957D9B"/>
    <w:rsid w:val="00986C99"/>
    <w:rsid w:val="009F048F"/>
    <w:rsid w:val="009F318E"/>
    <w:rsid w:val="009F6401"/>
    <w:rsid w:val="00A12928"/>
    <w:rsid w:val="00A96C08"/>
    <w:rsid w:val="00AC5899"/>
    <w:rsid w:val="00B15340"/>
    <w:rsid w:val="00B40D38"/>
    <w:rsid w:val="00B87695"/>
    <w:rsid w:val="00B928EF"/>
    <w:rsid w:val="00BD4490"/>
    <w:rsid w:val="00BE1FD4"/>
    <w:rsid w:val="00BF240D"/>
    <w:rsid w:val="00C07F80"/>
    <w:rsid w:val="00C251F7"/>
    <w:rsid w:val="00C324A1"/>
    <w:rsid w:val="00C4505C"/>
    <w:rsid w:val="00C6130E"/>
    <w:rsid w:val="00C678ED"/>
    <w:rsid w:val="00CB5E4F"/>
    <w:rsid w:val="00CD4BC9"/>
    <w:rsid w:val="00CE6085"/>
    <w:rsid w:val="00CF41E2"/>
    <w:rsid w:val="00D07A99"/>
    <w:rsid w:val="00D15497"/>
    <w:rsid w:val="00D33F83"/>
    <w:rsid w:val="00D543D9"/>
    <w:rsid w:val="00DB01D4"/>
    <w:rsid w:val="00DC2E8D"/>
    <w:rsid w:val="00DD1A34"/>
    <w:rsid w:val="00DD4885"/>
    <w:rsid w:val="00DD51B2"/>
    <w:rsid w:val="00E11BCF"/>
    <w:rsid w:val="00E127E3"/>
    <w:rsid w:val="00E20A54"/>
    <w:rsid w:val="00E270E5"/>
    <w:rsid w:val="00E97F84"/>
    <w:rsid w:val="00EB1767"/>
    <w:rsid w:val="00EC5405"/>
    <w:rsid w:val="00EF2427"/>
    <w:rsid w:val="00F11FD1"/>
    <w:rsid w:val="00F4311E"/>
    <w:rsid w:val="00F64579"/>
    <w:rsid w:val="00FD3A85"/>
    <w:rsid w:val="00FD6717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5863&amp;Ver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38D8-AA91-42F4-8B67-84F1FD8E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C0542678</Template>
  <TotalTime>61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2022-09-13T11:13:00Z</dcterms:created>
  <dcterms:modified xsi:type="dcterms:W3CDTF">2022-09-29T08:18:00Z</dcterms:modified>
</cp:coreProperties>
</file>